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следующие значения параметров страницы: формат А4, ориентация книжная, верхнее и нижнее поля 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см, левое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 – 3 см 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правое пол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– 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 выравнивается по ширине страницы.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Шрифт</w:t>
      </w:r>
      <w:r w:rsidRPr="008A13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Times New Roman 12 pt.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Абзацный отступ 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0,63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см, интервал между строками основного текста одинарный.</w:t>
      </w:r>
    </w:p>
    <w:p w:rsidR="005D1714" w:rsidRPr="008A13BF" w:rsidRDefault="00D05F79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/>
        <w:ind w:left="0" w:firstLine="0"/>
        <w:jc w:val="both"/>
      </w:pPr>
      <w:r w:rsidRPr="008A13BF">
        <w:t xml:space="preserve">Название: прописными (заглавными) </w:t>
      </w:r>
      <w:r w:rsidR="005D1714" w:rsidRPr="008A13BF">
        <w:t>полужирными буквами. Выравнивание названия по центру с</w:t>
      </w:r>
      <w:r w:rsidR="00DC0D8D" w:rsidRPr="008A13BF">
        <w:t>траницы.</w:t>
      </w:r>
      <w:r w:rsidR="005D1714" w:rsidRPr="008A13BF">
        <w:t xml:space="preserve"> </w:t>
      </w:r>
    </w:p>
    <w:p w:rsidR="00DC0D8D" w:rsidRPr="008A13BF" w:rsidRDefault="00D05F79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/>
        <w:ind w:left="0" w:firstLine="0"/>
        <w:jc w:val="both"/>
      </w:pPr>
      <w:r w:rsidRPr="008A13BF">
        <w:t>Сведения об авторе(ах): ФИО (инициалы проставляют после фамилии). Между инициалами ставится пробел. Если авторов два и более, то их ФИО перечисляют через запятую. Если авторы представляют разные организации, то после их инициалов над</w:t>
      </w:r>
      <w:r w:rsidR="00B91F95">
        <w:t xml:space="preserve">строчным знаком указывают цифру. </w:t>
      </w:r>
      <w:r w:rsidR="00DC0D8D" w:rsidRPr="008A13BF">
        <w:t>Выравнивание содержимого по центру страницы.</w:t>
      </w:r>
    </w:p>
    <w:p w:rsidR="00DC0D8D" w:rsidRPr="008A13BF" w:rsidRDefault="00D05F79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/>
        <w:ind w:left="0" w:firstLine="0"/>
        <w:jc w:val="both"/>
      </w:pPr>
      <w:r w:rsidRPr="008A13BF">
        <w:t xml:space="preserve">Сведение об организации: после цифрового надстрочного знака, соответствующего номеру организации, затем полное наименование учреждения и его местонахождение (город, </w:t>
      </w:r>
      <w:proofErr w:type="spellStart"/>
      <w:r w:rsidRPr="008A13BF">
        <w:t>пгт</w:t>
      </w:r>
      <w:proofErr w:type="spellEnd"/>
      <w:r w:rsidRPr="008A13BF">
        <w:t xml:space="preserve"> или т.п.). </w:t>
      </w:r>
      <w:r w:rsidR="00DC0D8D" w:rsidRPr="008A13BF">
        <w:t>Выравнивание содержимого по центру страницы.</w:t>
      </w:r>
    </w:p>
    <w:p w:rsidR="00D05F79" w:rsidRPr="008A13BF" w:rsidRDefault="00D05F79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8A13BF">
        <w:t>При указании нескольких организаций их названия указывают с новой строки.</w:t>
      </w:r>
    </w:p>
    <w:p w:rsidR="00AC5A77" w:rsidRDefault="00D05F79" w:rsidP="00EB46E7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i/>
          <w:color w:val="000000"/>
        </w:rPr>
      </w:pPr>
      <w:r w:rsidRPr="008A13BF">
        <w:t>Ключевые слова: не более 10 слов или коротких словосочетаний, перечисляемых через запятую, в конце ставится точка.</w:t>
      </w:r>
      <w:r w:rsidR="00817996" w:rsidRPr="008A13BF">
        <w:t xml:space="preserve"> </w:t>
      </w:r>
    </w:p>
    <w:p w:rsidR="00D05F79" w:rsidRPr="008A13BF" w:rsidRDefault="00D05F79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8A13BF">
        <w:t>Текст тезисов доклада не должен содержать подзаголовки: «Введение», «Результаты» и т.п., а также рисунки и таблицы.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условные обозначения и сокращения, принятые в Международной системе мер и весов (СИ).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используются принудительные переносы.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не ставится после: названия </w:t>
      </w:r>
      <w:r w:rsidR="00D05F79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названий организаций, размерностей (ч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с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секунда, г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грамм, мин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минута,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сутки, град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градус, м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метр, млн </w:t>
      </w:r>
      <w:r w:rsidR="00333AB2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миллион), а также в подстрочных индексах (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A13B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орг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 ставится после сокращений мес. (месяц),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. (неделя), г. (год) и т. д.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Десятичные дроби в тексте набираются через запятую (0,1 или 2,005</w:t>
      </w:r>
      <w:r w:rsidR="00C448CF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Кавычки и скобки не отделяют пробелами от заключенных в них слов: (при 300 K), </w:t>
      </w:r>
      <w:r w:rsidR="008C43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43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знаками номера, параграфа и числом ставится пробел: № 1; § 5.65.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с буквами в обозначениях набираются без пробелов: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IVd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; 1.3.14a; рис. 1д.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географических координатах широты отделяются пробелами: 56,5° с. ш., 85,0° в. д., рекомендованная международная форма записи — 44°37′13,4′′N, 33°30′13,6′′E.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географических названиях после сокращения с точкой ставится пробел: р.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Севастополь.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° от предыдущего числа не отделяются: +30°. Но: +30 °C.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указываются в форме [мг·м</w:t>
      </w:r>
      <w:r w:rsidRPr="008A13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] вместо [мг/м</w:t>
      </w:r>
      <w:r w:rsidRPr="008A13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Формулы в документе набираются либо в редакторе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LaTeX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в текстовом редакторе с помощью стандартного редактора формул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помощью инструмента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LibreOffice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Math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программ типа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MathType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неприемлемо.</w:t>
      </w:r>
    </w:p>
    <w:p w:rsidR="005D1714" w:rsidRPr="008A13BF" w:rsidRDefault="005D1714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8A13BF">
        <w:t>Необходимо различать дефис (-) и тире (–). Например, тире используется при: «… средний объем клеток – 45 %» (обратите внимание,</w:t>
      </w:r>
      <w:r w:rsidR="00776E98">
        <w:t xml:space="preserve"> что в данном случае до и </w:t>
      </w:r>
      <w:proofErr w:type="gramStart"/>
      <w:r w:rsidR="00776E98">
        <w:t xml:space="preserve">после </w:t>
      </w:r>
      <w:r w:rsidRPr="008A13BF">
        <w:t>тире</w:t>
      </w:r>
      <w:proofErr w:type="gramEnd"/>
      <w:r w:rsidRPr="008A13BF">
        <w:t xml:space="preserve"> ставятся пробелы); «концентрация бактерий в </w:t>
      </w:r>
      <w:proofErr w:type="spellStart"/>
      <w:r w:rsidRPr="008A13BF">
        <w:t>инокуляте</w:t>
      </w:r>
      <w:proofErr w:type="spellEnd"/>
      <w:r w:rsidRPr="008A13BF">
        <w:t xml:space="preserve"> составляла 25–68 </w:t>
      </w:r>
      <w:proofErr w:type="spellStart"/>
      <w:r w:rsidRPr="008A13BF">
        <w:t>кл</w:t>
      </w:r>
      <w:r w:rsidR="00E34172" w:rsidRPr="008A13BF">
        <w:t>·</w:t>
      </w:r>
      <w:r w:rsidRPr="008A13BF">
        <w:t>мл</w:t>
      </w:r>
      <w:proofErr w:type="spellEnd"/>
      <w:r w:rsidRPr="008A13BF">
        <w:t>»; ссылки на литературу [1–3] и т.д.</w:t>
      </w:r>
    </w:p>
    <w:p w:rsidR="005D1714" w:rsidRPr="008A13BF" w:rsidRDefault="005D1714" w:rsidP="00A2303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</w:pPr>
      <w:r w:rsidRPr="008A13BF">
        <w:t xml:space="preserve">При указании диапазона числовых значений величины, выраженного в одних и тех же единицах измерения, обозначение единицы измерения указывается за последним числовым значением диапазона, </w:t>
      </w:r>
      <w:proofErr w:type="gramStart"/>
      <w:r w:rsidRPr="008A13BF">
        <w:t>например</w:t>
      </w:r>
      <w:proofErr w:type="gramEnd"/>
      <w:r w:rsidRPr="008A13BF">
        <w:t xml:space="preserve">: </w:t>
      </w:r>
      <w:r w:rsidR="004D0BD0" w:rsidRPr="008A13BF">
        <w:t>«</w:t>
      </w:r>
      <w:r w:rsidR="00E34172" w:rsidRPr="008A13BF">
        <w:t xml:space="preserve">...значения </w:t>
      </w:r>
      <w:r w:rsidRPr="008A13BF">
        <w:t xml:space="preserve">варьировали несильно </w:t>
      </w:r>
      <w:r w:rsidR="00E34172" w:rsidRPr="008A13BF">
        <w:t>‒</w:t>
      </w:r>
      <w:r w:rsidRPr="008A13BF">
        <w:t xml:space="preserve"> от 1,2 до 3,6 мг·м</w:t>
      </w:r>
      <w:r w:rsidRPr="008A13BF">
        <w:rPr>
          <w:vertAlign w:val="superscript"/>
        </w:rPr>
        <w:t>3</w:t>
      </w:r>
      <w:r w:rsidR="004D0BD0" w:rsidRPr="008A13BF">
        <w:t>»</w:t>
      </w:r>
      <w:r w:rsidRPr="008A13BF">
        <w:t xml:space="preserve">. Допускается применение русских обозначений единиц, </w:t>
      </w:r>
      <w:proofErr w:type="gramStart"/>
      <w:r w:rsidRPr="008A13BF">
        <w:t>например</w:t>
      </w:r>
      <w:proofErr w:type="gramEnd"/>
      <w:r w:rsidRPr="008A13BF">
        <w:t xml:space="preserve">: процент (%), промилле (‰), бел (Б), децибел (дБ), метр (м), миллиметр (мм) и т.д. При </w:t>
      </w:r>
      <w:r w:rsidRPr="008A13BF">
        <w:lastRenderedPageBreak/>
        <w:t xml:space="preserve">указании значений величин с предельными отклонениями обозначения единиц измерения помещаются за ними, </w:t>
      </w:r>
      <w:proofErr w:type="gramStart"/>
      <w:r w:rsidRPr="008A13BF">
        <w:t>например</w:t>
      </w:r>
      <w:proofErr w:type="gramEnd"/>
      <w:r w:rsidRPr="008A13BF">
        <w:t>: 10,35±</w:t>
      </w:r>
      <w:r w:rsidR="004D0BD0" w:rsidRPr="008A13BF">
        <w:t>0</w:t>
      </w:r>
      <w:r w:rsidRPr="008A13BF">
        <w:t>,66 мг</w:t>
      </w:r>
      <w:r w:rsidR="004D0BD0" w:rsidRPr="008A13BF">
        <w:t>·</w:t>
      </w:r>
      <w:r w:rsidRPr="008A13BF">
        <w:t>м</w:t>
      </w:r>
      <w:r w:rsidR="00E34172" w:rsidRPr="008A13BF">
        <w:rPr>
          <w:vertAlign w:val="superscript"/>
        </w:rPr>
        <w:t>-3</w:t>
      </w:r>
      <w:r w:rsidRPr="008A13BF">
        <w:t>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 из нескольких слов разделяются пробелами (760 мм рт. ст.; т. пл.; пр. гр.; ч. д. а.; ос. ч.).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Сокращения используются при написании координат (с. ш., в. д.) и направлений (юго-западный </w:t>
      </w:r>
      <w:r w:rsidR="00DC0D8D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ЮЗ, а не </w:t>
      </w:r>
      <w:proofErr w:type="gram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Ю-З</w:t>
      </w:r>
      <w:proofErr w:type="gram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ю-з).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Аббревиатуры или формулы химических соединений пишутся через дефис: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="00DC0D8D" w:rsidRPr="008A13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-форма, ИК-спектроскопия, ПЭ-плёнка. Но: группа ОН.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Тире ставится между двумя или несколькими именами собственными, совокупностью которых называется какое-либо учение, научное учреждение и т. п. (например, физический закон Бойля </w:t>
      </w:r>
      <w:r w:rsidR="005D1714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Мариотта), а также между словами и цифрами для обозначения пространственных, временных или количественных пределов (например, маршрут Индийский океан </w:t>
      </w:r>
      <w:r w:rsidR="005D1714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="00DC0D8D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Чёрное море;</w:t>
      </w: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2,5–7,0 мм).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карты, графики и фотографии, как и таблицы, нумеруются арабскими цифрами в порядке упоминания иллюстраций в тексте.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статьях, написанных латиницей, географические названия и собственные имена, заимствованные из языков, не использующих латинский алфавит, следует давать в транслитерации, принятой в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Atlas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</w:t>
      </w:r>
      <w:proofErr w:type="spellEnd"/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19B4" w:rsidRPr="008A13BF" w:rsidRDefault="00F419B4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придерживаться номенклатуры, принятой в современных каталогах и справочниках, с обязательной ссылкой на источник. При первом упоминании латинского названия организма следует привести его полностью, с указанием автора и года описания. При последующих упоминаниях фамилия автора и год не приводятся, а название рода даётся сокращённо. Родовые и видовые латинские названия должны быть выделены курсивом, латинские названия более высоких таксонов, а также фамилии авторов описания видов, родов и т. п. курсивом или прописными буквами не выделяются.</w:t>
      </w:r>
    </w:p>
    <w:p w:rsidR="00505B57" w:rsidRPr="00505B57" w:rsidRDefault="00F419B4" w:rsidP="00A2303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afterAutospacing="1" w:line="240" w:lineRule="auto"/>
        <w:ind w:left="0" w:firstLine="0"/>
        <w:jc w:val="both"/>
      </w:pPr>
      <w:r w:rsidRPr="00505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Сокращённые названия учреждений и проч. при первом упоминании в тексте следует сопровождать полными названиями.</w:t>
      </w:r>
    </w:p>
    <w:p w:rsidR="00CF567D" w:rsidRPr="00505B57" w:rsidRDefault="00CF567D" w:rsidP="00A2303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afterAutospacing="1" w:line="240" w:lineRule="auto"/>
        <w:ind w:left="0" w:firstLine="0"/>
        <w:jc w:val="both"/>
      </w:pPr>
      <w:r w:rsidRPr="00505B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Гранты/проекты, в рамках которых выполнена работа, прописывают отдельным предложением</w:t>
      </w:r>
      <w:r w:rsidR="00776E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3B7" w:rsidRPr="008A13BF" w:rsidRDefault="009603B7" w:rsidP="00A23038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color w:val="000000"/>
          <w:sz w:val="24"/>
          <w:szCs w:val="24"/>
        </w:rPr>
        <w:t>Список литературы.</w:t>
      </w:r>
      <w:r w:rsidR="00D70C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669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Выравнивание </w:t>
      </w:r>
      <w:r w:rsidR="00D70C9A">
        <w:rPr>
          <w:rFonts w:ascii="Times New Roman" w:hAnsi="Times New Roman" w:cs="Times New Roman"/>
          <w:color w:val="000000"/>
          <w:sz w:val="24"/>
          <w:szCs w:val="24"/>
        </w:rPr>
        <w:t xml:space="preserve">подзаголовка </w:t>
      </w:r>
      <w:r w:rsidR="00811669" w:rsidRPr="008A13BF">
        <w:rPr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  <w:r w:rsidR="00811669"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669" w:rsidRPr="008A13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центру с</w:t>
      </w:r>
      <w:r w:rsidR="00811669" w:rsidRPr="008A13BF">
        <w:rPr>
          <w:rFonts w:ascii="Times New Roman" w:hAnsi="Times New Roman" w:cs="Times New Roman"/>
          <w:sz w:val="24"/>
          <w:szCs w:val="24"/>
        </w:rPr>
        <w:t>траницы.</w:t>
      </w:r>
      <w:r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Допускается список литературы с максимальным объемом – 4 источника. Ссылки на литературу даются в порядке встречаемости в тексте в квадратных скобках цифрами в порядке упоминания [1]. Библиографические записи в списке литературы оформляют согласно ГОСТ Р 7.05-2008. Библиографическая ссылка. Общие требования и правила составлен</w:t>
      </w:r>
      <w:r w:rsidR="0014476E" w:rsidRPr="008A13BF">
        <w:rPr>
          <w:rFonts w:ascii="Times New Roman" w:hAnsi="Times New Roman" w:cs="Times New Roman"/>
          <w:color w:val="000000"/>
          <w:sz w:val="24"/>
          <w:szCs w:val="24"/>
        </w:rPr>
        <w:t>ия. Введен с 01.01.2009. Москва</w:t>
      </w:r>
      <w:r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A13BF">
        <w:rPr>
          <w:rFonts w:ascii="Times New Roman" w:hAnsi="Times New Roman" w:cs="Times New Roman"/>
          <w:color w:val="000000"/>
          <w:sz w:val="24"/>
          <w:szCs w:val="24"/>
        </w:rPr>
        <w:t>Стандартинформ</w:t>
      </w:r>
      <w:proofErr w:type="spellEnd"/>
      <w:r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, 2008. 23 с., при этом в описании дефисы опускаем (см. примеры). Обязательно указывается </w:t>
      </w:r>
      <w:proofErr w:type="spellStart"/>
      <w:r w:rsidRPr="008A13BF">
        <w:rPr>
          <w:rFonts w:ascii="Times New Roman" w:hAnsi="Times New Roman" w:cs="Times New Roman"/>
          <w:color w:val="000000"/>
          <w:sz w:val="24"/>
          <w:szCs w:val="24"/>
        </w:rPr>
        <w:t>doi</w:t>
      </w:r>
      <w:proofErr w:type="spellEnd"/>
      <w:r w:rsidRPr="008A13BF">
        <w:rPr>
          <w:rFonts w:ascii="Times New Roman" w:hAnsi="Times New Roman" w:cs="Times New Roman"/>
          <w:color w:val="000000"/>
          <w:sz w:val="24"/>
          <w:szCs w:val="24"/>
        </w:rPr>
        <w:t xml:space="preserve"> к цитируемому источнику, если он есть, и сделать его активным – в виде гиперссылки. </w:t>
      </w:r>
    </w:p>
    <w:p w:rsidR="009603B7" w:rsidRPr="008A13BF" w:rsidRDefault="009603B7" w:rsidP="00A23038">
      <w:pPr>
        <w:tabs>
          <w:tab w:val="num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b/>
          <w:sz w:val="24"/>
          <w:szCs w:val="24"/>
        </w:rPr>
        <w:t>Статьи в периодических изданиях:</w:t>
      </w:r>
    </w:p>
    <w:p w:rsidR="009603B7" w:rsidRPr="008A13BF" w:rsidRDefault="009603B7" w:rsidP="00A23038">
      <w:pPr>
        <w:pStyle w:val="a4"/>
        <w:numPr>
          <w:ilvl w:val="0"/>
          <w:numId w:val="2"/>
        </w:numPr>
        <w:tabs>
          <w:tab w:val="num" w:pos="360"/>
        </w:tabs>
        <w:ind w:left="0" w:firstLine="0"/>
      </w:pPr>
      <w:proofErr w:type="spellStart"/>
      <w:r w:rsidRPr="008A13BF">
        <w:rPr>
          <w:lang w:val="en-US"/>
        </w:rPr>
        <w:t>Stutzin</w:t>
      </w:r>
      <w:proofErr w:type="spellEnd"/>
      <w:r w:rsidRPr="008A13BF">
        <w:rPr>
          <w:lang w:val="en-US"/>
        </w:rPr>
        <w:t xml:space="preserve"> A., Hoffmann E. K. Swelling‐activated ion channels: functional regulation in cell‐swelling, proliferation and apoptosis // </w:t>
      </w:r>
      <w:proofErr w:type="spellStart"/>
      <w:r w:rsidRPr="008A13BF">
        <w:rPr>
          <w:lang w:val="en-US"/>
        </w:rPr>
        <w:t>Acta</w:t>
      </w:r>
      <w:proofErr w:type="spellEnd"/>
      <w:r w:rsidRPr="008A13BF">
        <w:rPr>
          <w:lang w:val="en-US"/>
        </w:rPr>
        <w:t xml:space="preserve"> </w:t>
      </w:r>
      <w:proofErr w:type="spellStart"/>
      <w:r w:rsidRPr="008A13BF">
        <w:rPr>
          <w:lang w:val="en-US"/>
        </w:rPr>
        <w:t>Physiologica</w:t>
      </w:r>
      <w:proofErr w:type="spellEnd"/>
      <w:r w:rsidRPr="008A13BF">
        <w:rPr>
          <w:lang w:val="en-US"/>
        </w:rPr>
        <w:t xml:space="preserve">.  2006. Vol. 187, </w:t>
      </w:r>
      <w:proofErr w:type="spellStart"/>
      <w:r w:rsidRPr="008A13BF">
        <w:rPr>
          <w:lang w:val="en-US"/>
        </w:rPr>
        <w:t>iss</w:t>
      </w:r>
      <w:proofErr w:type="spellEnd"/>
      <w:r w:rsidRPr="008A13BF">
        <w:rPr>
          <w:lang w:val="en-US"/>
        </w:rPr>
        <w:t>. 1</w:t>
      </w:r>
      <w:r w:rsidRPr="008A13BF">
        <w:t>–</w:t>
      </w:r>
      <w:r w:rsidRPr="008A13BF">
        <w:rPr>
          <w:lang w:val="en-US"/>
        </w:rPr>
        <w:t>2.</w:t>
      </w:r>
      <w:r w:rsidRPr="008A13BF">
        <w:t xml:space="preserve"> P. 27–42. </w:t>
      </w:r>
      <w:hyperlink r:id="rId5">
        <w:r w:rsidRPr="008A13BF">
          <w:rPr>
            <w:rStyle w:val="-"/>
          </w:rPr>
          <w:t>https://doi.org/10.1111/j.1748-1716.2006.01537.x</w:t>
        </w:r>
      </w:hyperlink>
    </w:p>
    <w:p w:rsidR="009603B7" w:rsidRPr="008A13BF" w:rsidRDefault="009603B7" w:rsidP="00A23038">
      <w:pPr>
        <w:pStyle w:val="a4"/>
        <w:numPr>
          <w:ilvl w:val="0"/>
          <w:numId w:val="2"/>
        </w:numPr>
        <w:tabs>
          <w:tab w:val="num" w:pos="360"/>
        </w:tabs>
        <w:ind w:left="0" w:firstLine="0"/>
        <w:jc w:val="both"/>
      </w:pPr>
      <w:r w:rsidRPr="008A13BF">
        <w:t xml:space="preserve">Палий В. Ф. О количественных показателях при обработке фаунистических материалов // Зоологический журнал. 1961. Т. 60, </w:t>
      </w:r>
      <w:proofErr w:type="spellStart"/>
      <w:r w:rsidRPr="008A13BF">
        <w:t>вып</w:t>
      </w:r>
      <w:proofErr w:type="spellEnd"/>
      <w:r w:rsidRPr="008A13BF">
        <w:t>. 1. С. 3–12.</w:t>
      </w:r>
    </w:p>
    <w:p w:rsidR="009603B7" w:rsidRPr="008A13BF" w:rsidRDefault="009603B7" w:rsidP="00A23038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03B7" w:rsidRPr="008A13BF" w:rsidRDefault="009603B7" w:rsidP="00A23038">
      <w:pPr>
        <w:tabs>
          <w:tab w:val="num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b/>
          <w:sz w:val="24"/>
          <w:szCs w:val="24"/>
        </w:rPr>
        <w:t>Тезисы и материалы конференций:</w:t>
      </w:r>
    </w:p>
    <w:p w:rsidR="009603B7" w:rsidRPr="008A13BF" w:rsidRDefault="009603B7" w:rsidP="00A23038">
      <w:pPr>
        <w:pStyle w:val="a4"/>
        <w:numPr>
          <w:ilvl w:val="0"/>
          <w:numId w:val="4"/>
        </w:numPr>
        <w:tabs>
          <w:tab w:val="num" w:pos="360"/>
        </w:tabs>
        <w:ind w:left="0" w:firstLine="0"/>
        <w:jc w:val="both"/>
      </w:pPr>
      <w:r w:rsidRPr="008A13BF">
        <w:t xml:space="preserve">Голиков А. В., </w:t>
      </w:r>
      <w:proofErr w:type="spellStart"/>
      <w:r w:rsidRPr="008A13BF">
        <w:t>Сабиров</w:t>
      </w:r>
      <w:proofErr w:type="spellEnd"/>
      <w:r w:rsidRPr="008A13BF">
        <w:t xml:space="preserve"> Р. М., Любин П. А., Захаров Д. В., Зимина О. Л. Особенности современного распространения головоногих моллюсков (</w:t>
      </w:r>
      <w:proofErr w:type="spellStart"/>
      <w:r w:rsidRPr="008A13BF">
        <w:rPr>
          <w:lang w:val="en-US"/>
        </w:rPr>
        <w:t>Cephalopoda</w:t>
      </w:r>
      <w:proofErr w:type="spellEnd"/>
      <w:r w:rsidRPr="008A13BF">
        <w:t xml:space="preserve">) в </w:t>
      </w:r>
      <w:r w:rsidRPr="008A13BF">
        <w:lastRenderedPageBreak/>
        <w:t xml:space="preserve">западной части Арктики // Комплексные исследования природы Шпицбергена и прилегающего </w:t>
      </w:r>
      <w:proofErr w:type="gramStart"/>
      <w:r w:rsidRPr="008A13BF">
        <w:t>шельфа :</w:t>
      </w:r>
      <w:proofErr w:type="gramEnd"/>
      <w:r w:rsidRPr="008A13BF">
        <w:t xml:space="preserve"> материалы </w:t>
      </w:r>
      <w:r w:rsidRPr="008A13BF">
        <w:rPr>
          <w:lang w:val="en-US"/>
        </w:rPr>
        <w:t>XIII</w:t>
      </w:r>
      <w:r w:rsidRPr="008A13BF">
        <w:t xml:space="preserve"> </w:t>
      </w:r>
      <w:proofErr w:type="spellStart"/>
      <w:r w:rsidRPr="008A13BF">
        <w:t>Междунар</w:t>
      </w:r>
      <w:proofErr w:type="spellEnd"/>
      <w:r w:rsidRPr="008A13BF">
        <w:t xml:space="preserve">. науч. </w:t>
      </w:r>
      <w:proofErr w:type="spellStart"/>
      <w:r w:rsidRPr="008A13BF">
        <w:t>конф</w:t>
      </w:r>
      <w:proofErr w:type="spellEnd"/>
      <w:r w:rsidRPr="008A13BF">
        <w:t xml:space="preserve">. с </w:t>
      </w:r>
      <w:proofErr w:type="spellStart"/>
      <w:r w:rsidRPr="008A13BF">
        <w:t>междунар</w:t>
      </w:r>
      <w:proofErr w:type="spellEnd"/>
      <w:r w:rsidRPr="008A13BF">
        <w:t>. участием, г. Мурманск, 2-4 ноября 2016 г. Ростов-на-Дону : Изд-во ЮНЦ РАН, 2016. С. 72–75.</w:t>
      </w:r>
    </w:p>
    <w:p w:rsidR="009603B7" w:rsidRPr="008A13BF" w:rsidRDefault="009603B7" w:rsidP="00A23038">
      <w:pPr>
        <w:pStyle w:val="a4"/>
        <w:numPr>
          <w:ilvl w:val="0"/>
          <w:numId w:val="4"/>
        </w:numPr>
        <w:tabs>
          <w:tab w:val="num" w:pos="360"/>
        </w:tabs>
        <w:ind w:left="0" w:firstLine="0"/>
        <w:jc w:val="both"/>
      </w:pPr>
      <w:r w:rsidRPr="008A13BF">
        <w:t xml:space="preserve">Китаев С. П. О соотношении некоторых трофических уровней и «шкалах </w:t>
      </w:r>
      <w:proofErr w:type="spellStart"/>
      <w:r w:rsidRPr="008A13BF">
        <w:t>трофности</w:t>
      </w:r>
      <w:proofErr w:type="spellEnd"/>
      <w:r w:rsidRPr="008A13BF">
        <w:t>» озер разных природных зон // Тезисы докладов V съезда ВГБО, Тольятти, 15-19 сентября 1986 г. Куйбышев, 1986. С. 254–255.</w:t>
      </w:r>
    </w:p>
    <w:p w:rsidR="009603B7" w:rsidRPr="008A13BF" w:rsidRDefault="009603B7" w:rsidP="00A23038">
      <w:pPr>
        <w:tabs>
          <w:tab w:val="num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603B7" w:rsidRPr="008A13BF" w:rsidRDefault="009603B7" w:rsidP="00A23038">
      <w:pPr>
        <w:tabs>
          <w:tab w:val="num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b/>
          <w:sz w:val="24"/>
          <w:szCs w:val="24"/>
        </w:rPr>
        <w:t>Книги:</w:t>
      </w:r>
    </w:p>
    <w:p w:rsidR="009603B7" w:rsidRPr="008A13BF" w:rsidRDefault="009603B7" w:rsidP="00A23038">
      <w:pPr>
        <w:pStyle w:val="a3"/>
        <w:numPr>
          <w:ilvl w:val="0"/>
          <w:numId w:val="5"/>
        </w:numPr>
        <w:tabs>
          <w:tab w:val="num" w:pos="360"/>
        </w:tabs>
        <w:spacing w:after="0"/>
        <w:ind w:left="0" w:firstLine="0"/>
        <w:jc w:val="both"/>
        <w:rPr>
          <w:sz w:val="24"/>
          <w:szCs w:val="24"/>
        </w:rPr>
      </w:pPr>
      <w:proofErr w:type="spellStart"/>
      <w:r w:rsidRPr="008A13BF">
        <w:rPr>
          <w:sz w:val="24"/>
          <w:szCs w:val="24"/>
          <w:lang w:val="en-US"/>
        </w:rPr>
        <w:t>Shennon</w:t>
      </w:r>
      <w:proofErr w:type="spellEnd"/>
      <w:r w:rsidRPr="008A13BF">
        <w:rPr>
          <w:sz w:val="24"/>
          <w:szCs w:val="24"/>
          <w:lang w:val="en-US"/>
        </w:rPr>
        <w:t xml:space="preserve"> C. E. Weaver W. The mathematical theory of communication. </w:t>
      </w:r>
      <w:proofErr w:type="gramStart"/>
      <w:r w:rsidRPr="008A13BF">
        <w:rPr>
          <w:sz w:val="24"/>
          <w:szCs w:val="24"/>
          <w:lang w:val="en-US"/>
        </w:rPr>
        <w:t>Urbana :</w:t>
      </w:r>
      <w:proofErr w:type="gramEnd"/>
      <w:r w:rsidRPr="008A13BF">
        <w:rPr>
          <w:sz w:val="24"/>
          <w:szCs w:val="24"/>
          <w:lang w:val="en-US"/>
        </w:rPr>
        <w:t xml:space="preserve"> University of Illinois Press. 1963. 345 </w:t>
      </w:r>
      <w:r w:rsidRPr="008A13BF">
        <w:rPr>
          <w:sz w:val="24"/>
          <w:szCs w:val="24"/>
        </w:rPr>
        <w:t>р</w:t>
      </w:r>
      <w:r w:rsidRPr="008A13BF">
        <w:rPr>
          <w:sz w:val="24"/>
          <w:szCs w:val="24"/>
          <w:lang w:val="en-US"/>
        </w:rPr>
        <w:t>.</w:t>
      </w:r>
    </w:p>
    <w:p w:rsidR="009603B7" w:rsidRPr="008A13BF" w:rsidRDefault="009603B7" w:rsidP="00A23038">
      <w:pPr>
        <w:pStyle w:val="a4"/>
        <w:numPr>
          <w:ilvl w:val="0"/>
          <w:numId w:val="5"/>
        </w:numPr>
        <w:tabs>
          <w:tab w:val="num" w:pos="360"/>
        </w:tabs>
        <w:ind w:left="0" w:firstLine="0"/>
        <w:jc w:val="both"/>
        <w:rPr>
          <w:lang w:val="en-US"/>
        </w:rPr>
      </w:pPr>
      <w:proofErr w:type="spellStart"/>
      <w:r w:rsidRPr="008A13BF">
        <w:rPr>
          <w:lang w:val="en-US"/>
        </w:rPr>
        <w:t>Taşkin</w:t>
      </w:r>
      <w:proofErr w:type="spellEnd"/>
      <w:r w:rsidRPr="008A13BF">
        <w:rPr>
          <w:lang w:val="en-US"/>
        </w:rPr>
        <w:t xml:space="preserve"> E., </w:t>
      </w:r>
      <w:proofErr w:type="spellStart"/>
      <w:r w:rsidRPr="008A13BF">
        <w:rPr>
          <w:lang w:val="en-US"/>
        </w:rPr>
        <w:t>Öztürk</w:t>
      </w:r>
      <w:proofErr w:type="spellEnd"/>
      <w:r w:rsidRPr="008A13BF">
        <w:rPr>
          <w:lang w:val="en-US"/>
        </w:rPr>
        <w:t xml:space="preserve"> M., Kurt O., </w:t>
      </w:r>
      <w:proofErr w:type="spellStart"/>
      <w:r w:rsidRPr="008A13BF">
        <w:rPr>
          <w:lang w:val="en-US"/>
        </w:rPr>
        <w:t>Öztürk</w:t>
      </w:r>
      <w:proofErr w:type="spellEnd"/>
      <w:r w:rsidRPr="008A13BF">
        <w:rPr>
          <w:lang w:val="en-US"/>
        </w:rPr>
        <w:t xml:space="preserve"> M. The check-list of the marine flora of Turkey. </w:t>
      </w:r>
      <w:proofErr w:type="spellStart"/>
      <w:r w:rsidRPr="008A13BF">
        <w:rPr>
          <w:lang w:val="en-US"/>
        </w:rPr>
        <w:t>Manisa</w:t>
      </w:r>
      <w:proofErr w:type="spellEnd"/>
      <w:r w:rsidRPr="008A13BF">
        <w:rPr>
          <w:lang w:val="en-US"/>
        </w:rPr>
        <w:t>, Turkey, 2008. 87 p.</w:t>
      </w:r>
    </w:p>
    <w:p w:rsidR="009603B7" w:rsidRPr="008A13BF" w:rsidRDefault="009603B7" w:rsidP="00A23038">
      <w:pPr>
        <w:pStyle w:val="a4"/>
        <w:numPr>
          <w:ilvl w:val="0"/>
          <w:numId w:val="5"/>
        </w:numPr>
        <w:tabs>
          <w:tab w:val="num" w:pos="360"/>
        </w:tabs>
        <w:ind w:left="0" w:firstLine="0"/>
        <w:jc w:val="both"/>
      </w:pPr>
      <w:r w:rsidRPr="008A13BF">
        <w:t xml:space="preserve">Иванов И. Ф., Ковальский П. А. Цитология, гистология, эмбриология. </w:t>
      </w:r>
      <w:proofErr w:type="gramStart"/>
      <w:r w:rsidRPr="008A13BF">
        <w:t>Москва :</w:t>
      </w:r>
      <w:proofErr w:type="gramEnd"/>
      <w:r w:rsidRPr="008A13BF">
        <w:t xml:space="preserve"> Колос, 1976. 446 с.</w:t>
      </w:r>
    </w:p>
    <w:p w:rsidR="009603B7" w:rsidRPr="008A13BF" w:rsidRDefault="009603B7" w:rsidP="00A23038">
      <w:pPr>
        <w:pStyle w:val="a4"/>
        <w:numPr>
          <w:ilvl w:val="0"/>
          <w:numId w:val="5"/>
        </w:numPr>
        <w:tabs>
          <w:tab w:val="num" w:pos="360"/>
        </w:tabs>
        <w:ind w:left="0" w:firstLine="0"/>
        <w:jc w:val="both"/>
      </w:pPr>
      <w:r w:rsidRPr="008A13BF">
        <w:t xml:space="preserve">Водные ресурсы Свердловской области / под ред. Н. Б. </w:t>
      </w:r>
      <w:proofErr w:type="gramStart"/>
      <w:r w:rsidRPr="008A13BF">
        <w:t>Прохоровой ;</w:t>
      </w:r>
      <w:proofErr w:type="gramEnd"/>
      <w:r w:rsidRPr="008A13BF">
        <w:t xml:space="preserve"> ФГУП </w:t>
      </w:r>
      <w:proofErr w:type="spellStart"/>
      <w:r w:rsidRPr="008A13BF">
        <w:t>РосНИИВХ</w:t>
      </w:r>
      <w:proofErr w:type="spellEnd"/>
      <w:r w:rsidRPr="008A13BF">
        <w:t xml:space="preserve">. </w:t>
      </w:r>
      <w:proofErr w:type="gramStart"/>
      <w:r w:rsidRPr="008A13BF">
        <w:t>Екатеринбург :</w:t>
      </w:r>
      <w:proofErr w:type="gramEnd"/>
      <w:r w:rsidRPr="008A13BF">
        <w:t xml:space="preserve"> Изд-во АМБ, 2004. 432 с.</w:t>
      </w:r>
    </w:p>
    <w:p w:rsidR="009603B7" w:rsidRPr="008A13BF" w:rsidRDefault="009603B7" w:rsidP="00A23038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13BF">
        <w:rPr>
          <w:rFonts w:ascii="Times New Roman" w:hAnsi="Times New Roman" w:cs="Times New Roman"/>
          <w:sz w:val="24"/>
          <w:szCs w:val="24"/>
        </w:rPr>
        <w:t xml:space="preserve">Особо охраняемые природные территории </w:t>
      </w:r>
      <w:proofErr w:type="gramStart"/>
      <w:r w:rsidRPr="008A13BF">
        <w:rPr>
          <w:rFonts w:ascii="Times New Roman" w:hAnsi="Times New Roman" w:cs="Times New Roman"/>
          <w:sz w:val="24"/>
          <w:szCs w:val="24"/>
        </w:rPr>
        <w:t>Беларуси :</w:t>
      </w:r>
      <w:proofErr w:type="gramEnd"/>
      <w:r w:rsidRPr="008A13BF">
        <w:rPr>
          <w:rFonts w:ascii="Times New Roman" w:hAnsi="Times New Roman" w:cs="Times New Roman"/>
          <w:sz w:val="24"/>
          <w:szCs w:val="24"/>
        </w:rPr>
        <w:t xml:space="preserve"> справочник / Н. А. </w:t>
      </w:r>
      <w:proofErr w:type="spellStart"/>
      <w:r w:rsidRPr="008A13BF">
        <w:rPr>
          <w:rFonts w:ascii="Times New Roman" w:hAnsi="Times New Roman" w:cs="Times New Roman"/>
          <w:sz w:val="24"/>
          <w:szCs w:val="24"/>
        </w:rPr>
        <w:t>Юргенсон</w:t>
      </w:r>
      <w:proofErr w:type="spellEnd"/>
      <w:r w:rsidRPr="008A13BF">
        <w:rPr>
          <w:rFonts w:ascii="Times New Roman" w:hAnsi="Times New Roman" w:cs="Times New Roman"/>
          <w:sz w:val="24"/>
          <w:szCs w:val="24"/>
        </w:rPr>
        <w:t xml:space="preserve">, Е. В. Шушкова, Е. А. Шляхтич, В. В. Устин ; ГНПО «Научно-практический центр НАН Беларуси по биоресурсам». </w:t>
      </w:r>
      <w:proofErr w:type="gramStart"/>
      <w:r w:rsidRPr="008A13BF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8A13BF">
        <w:rPr>
          <w:rFonts w:ascii="Times New Roman" w:hAnsi="Times New Roman" w:cs="Times New Roman"/>
          <w:sz w:val="24"/>
          <w:szCs w:val="24"/>
        </w:rPr>
        <w:t xml:space="preserve"> ГУ «</w:t>
      </w:r>
      <w:proofErr w:type="spellStart"/>
      <w:r w:rsidRPr="008A13BF">
        <w:rPr>
          <w:rFonts w:ascii="Times New Roman" w:hAnsi="Times New Roman" w:cs="Times New Roman"/>
          <w:sz w:val="24"/>
          <w:szCs w:val="24"/>
        </w:rPr>
        <w:t>БелИСА</w:t>
      </w:r>
      <w:proofErr w:type="spellEnd"/>
      <w:r w:rsidRPr="008A13BF">
        <w:rPr>
          <w:rFonts w:ascii="Times New Roman" w:hAnsi="Times New Roman" w:cs="Times New Roman"/>
          <w:sz w:val="24"/>
          <w:szCs w:val="24"/>
        </w:rPr>
        <w:t>», 2012. 204 с.</w:t>
      </w:r>
    </w:p>
    <w:p w:rsidR="009603B7" w:rsidRPr="008A13BF" w:rsidRDefault="009603B7" w:rsidP="00A23038">
      <w:pPr>
        <w:pStyle w:val="a4"/>
        <w:tabs>
          <w:tab w:val="num" w:pos="360"/>
        </w:tabs>
        <w:ind w:left="0"/>
        <w:jc w:val="both"/>
        <w:rPr>
          <w:lang w:val="en-US"/>
        </w:rPr>
      </w:pPr>
    </w:p>
    <w:p w:rsidR="009603B7" w:rsidRPr="008A13BF" w:rsidRDefault="009603B7" w:rsidP="00A23038">
      <w:pPr>
        <w:tabs>
          <w:tab w:val="num" w:pos="360"/>
        </w:tabs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b/>
          <w:sz w:val="24"/>
          <w:szCs w:val="24"/>
        </w:rPr>
        <w:t>Авторефераты диссертаций:</w:t>
      </w:r>
    </w:p>
    <w:p w:rsidR="009603B7" w:rsidRPr="008A13BF" w:rsidRDefault="009603B7" w:rsidP="00A23038">
      <w:pPr>
        <w:pStyle w:val="a4"/>
        <w:numPr>
          <w:ilvl w:val="3"/>
          <w:numId w:val="5"/>
        </w:numPr>
        <w:tabs>
          <w:tab w:val="num" w:pos="360"/>
        </w:tabs>
        <w:ind w:left="0" w:firstLine="0"/>
        <w:jc w:val="both"/>
      </w:pPr>
      <w:r w:rsidRPr="008A13BF">
        <w:t xml:space="preserve">Андреева А. Ю. Морфофункциональные характеристики эритроцитов </w:t>
      </w:r>
      <w:proofErr w:type="spellStart"/>
      <w:r w:rsidRPr="008A13BF">
        <w:rPr>
          <w:i/>
        </w:rPr>
        <w:t>Scorpaena</w:t>
      </w:r>
      <w:proofErr w:type="spellEnd"/>
      <w:r w:rsidRPr="008A13BF">
        <w:rPr>
          <w:i/>
        </w:rPr>
        <w:t xml:space="preserve"> </w:t>
      </w:r>
      <w:r w:rsidRPr="008A13BF">
        <w:rPr>
          <w:i/>
          <w:lang w:val="en-US"/>
        </w:rPr>
        <w:t>p</w:t>
      </w:r>
      <w:proofErr w:type="spellStart"/>
      <w:r w:rsidRPr="008A13BF">
        <w:rPr>
          <w:i/>
        </w:rPr>
        <w:t>orcus</w:t>
      </w:r>
      <w:proofErr w:type="spellEnd"/>
      <w:r w:rsidRPr="008A13BF">
        <w:t xml:space="preserve"> L. в условиях гипоксии (эксперименты </w:t>
      </w:r>
      <w:proofErr w:type="spellStart"/>
      <w:r w:rsidRPr="008A13BF">
        <w:t>in</w:t>
      </w:r>
      <w:proofErr w:type="spellEnd"/>
      <w:r w:rsidRPr="008A13BF">
        <w:t xml:space="preserve"> </w:t>
      </w:r>
      <w:proofErr w:type="spellStart"/>
      <w:r w:rsidRPr="008A13BF">
        <w:t>vitro</w:t>
      </w:r>
      <w:proofErr w:type="spellEnd"/>
      <w:proofErr w:type="gramStart"/>
      <w:r w:rsidRPr="008A13BF">
        <w:t>) :</w:t>
      </w:r>
      <w:proofErr w:type="gramEnd"/>
      <w:r w:rsidRPr="008A13BF">
        <w:t xml:space="preserve"> </w:t>
      </w:r>
      <w:proofErr w:type="spellStart"/>
      <w:r w:rsidRPr="008A13BF">
        <w:t>автореф</w:t>
      </w:r>
      <w:proofErr w:type="spellEnd"/>
      <w:r w:rsidRPr="008A13BF">
        <w:t xml:space="preserve">. </w:t>
      </w:r>
      <w:proofErr w:type="spellStart"/>
      <w:r w:rsidRPr="008A13BF">
        <w:t>дис</w:t>
      </w:r>
      <w:proofErr w:type="spellEnd"/>
      <w:r w:rsidRPr="008A13BF">
        <w:t xml:space="preserve">.... канд. биол. наук. Санкт Петербург, 2014. 21 с. </w:t>
      </w:r>
    </w:p>
    <w:p w:rsidR="009603B7" w:rsidRPr="008A13BF" w:rsidRDefault="009603B7" w:rsidP="00357556">
      <w:pPr>
        <w:tabs>
          <w:tab w:val="num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03B7" w:rsidRPr="008A13BF" w:rsidRDefault="009603B7" w:rsidP="00357556">
      <w:pPr>
        <w:tabs>
          <w:tab w:val="num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13BF">
        <w:rPr>
          <w:rFonts w:ascii="Times New Roman" w:hAnsi="Times New Roman" w:cs="Times New Roman"/>
          <w:b/>
          <w:sz w:val="24"/>
          <w:szCs w:val="24"/>
        </w:rPr>
        <w:t>Методики:</w:t>
      </w:r>
    </w:p>
    <w:p w:rsidR="009603B7" w:rsidRPr="008A13BF" w:rsidRDefault="009603B7" w:rsidP="00A23038">
      <w:pPr>
        <w:pStyle w:val="a4"/>
        <w:numPr>
          <w:ilvl w:val="0"/>
          <w:numId w:val="3"/>
        </w:numPr>
        <w:tabs>
          <w:tab w:val="num" w:pos="360"/>
        </w:tabs>
        <w:ind w:left="0" w:firstLine="0"/>
        <w:jc w:val="both"/>
      </w:pPr>
      <w:r w:rsidRPr="008A13BF">
        <w:t>Методика определения качественного и количественного состава зоопланктона. СТП ИМБИ 020-2016. г. Приказ 45-од от 12.08.2016. Севастополь, 2016.</w:t>
      </w:r>
    </w:p>
    <w:p w:rsidR="00802928" w:rsidRDefault="009603B7" w:rsidP="00A23038">
      <w:pPr>
        <w:pStyle w:val="a4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Style w:val="-"/>
        </w:rPr>
      </w:pPr>
      <w:r w:rsidRPr="008A13BF">
        <w:t xml:space="preserve">Методические указания по проведению гематологического обследования рыб. Министерство сельского хозяйства и продовольствия Российской Федерации (Минсельхозпрод России) Департамент ветеринарии № 13-4-2/1487 от 02 февраля 1999 г. 6 с. </w:t>
      </w:r>
      <w:hyperlink r:id="rId6">
        <w:r w:rsidRPr="008A13BF">
          <w:rPr>
            <w:rStyle w:val="-"/>
          </w:rPr>
          <w:t>http://gov.cap.ru/home/65/aris/bd/vetzac/document/201.html</w:t>
        </w:r>
      </w:hyperlink>
    </w:p>
    <w:p w:rsidR="009603B7" w:rsidRPr="00802928" w:rsidRDefault="009603B7" w:rsidP="00802928">
      <w:pPr>
        <w:rPr>
          <w:rStyle w:val="-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C9A" w:rsidRDefault="00D70C9A" w:rsidP="00D70C9A">
      <w:pPr>
        <w:jc w:val="both"/>
      </w:pPr>
    </w:p>
    <w:p w:rsidR="00802928" w:rsidRPr="00FB51A2" w:rsidRDefault="00D3228A" w:rsidP="00802928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FB51A2">
        <w:rPr>
          <w:rFonts w:ascii="Times New Roman" w:hAnsi="Times New Roman" w:cs="Times New Roman"/>
          <w:b/>
          <w:i/>
          <w:sz w:val="32"/>
          <w:szCs w:val="24"/>
        </w:rPr>
        <w:t>Для удобства ниже приведен пример оформления тезисов.</w:t>
      </w:r>
    </w:p>
    <w:p w:rsidR="00B85628" w:rsidRPr="00357556" w:rsidRDefault="00802928" w:rsidP="0080292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DE47DF" w:rsidRPr="00DE47DF" w:rsidRDefault="00DE47DF" w:rsidP="00DE4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47DF">
        <w:rPr>
          <w:rFonts w:ascii="Times New Roman" w:hAnsi="Times New Roman" w:cs="Times New Roman"/>
          <w:b/>
          <w:sz w:val="24"/>
        </w:rPr>
        <w:lastRenderedPageBreak/>
        <w:t>XIII ВСЕРОССИЙСКАЯ НАУЧНО-ПРАКТИЧЕСКАЯ КОНФЕРЕНЦИЯ С МЕЖДУНАРОДНЫМ УЧАСТИЕМ ДЛЯ МОЛОДЫХ УЧЁНЫХ</w:t>
      </w:r>
    </w:p>
    <w:p w:rsidR="00B85628" w:rsidRDefault="00DE47DF" w:rsidP="00DE47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E47DF">
        <w:rPr>
          <w:rFonts w:ascii="Times New Roman" w:hAnsi="Times New Roman" w:cs="Times New Roman"/>
          <w:b/>
          <w:sz w:val="24"/>
        </w:rPr>
        <w:t>ПОНТ ЭВКСИНСКИЙ-2023</w:t>
      </w:r>
    </w:p>
    <w:p w:rsidR="00B85628" w:rsidRDefault="00B85628" w:rsidP="00B856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85628" w:rsidRDefault="00DE47DF" w:rsidP="00B8562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>Войцеховская</w:t>
      </w:r>
      <w:r w:rsidR="00B85628">
        <w:rPr>
          <w:rFonts w:ascii="Times New Roman" w:hAnsi="Times New Roman" w:cs="Times New Roman"/>
          <w:b/>
          <w:sz w:val="24"/>
        </w:rPr>
        <w:t xml:space="preserve"> В. В.</w:t>
      </w:r>
      <w:r w:rsidR="00B85628">
        <w:rPr>
          <w:rFonts w:ascii="Times New Roman" w:hAnsi="Times New Roman" w:cs="Times New Roman"/>
          <w:b/>
          <w:sz w:val="24"/>
          <w:vertAlign w:val="superscript"/>
        </w:rPr>
        <w:t>1</w:t>
      </w:r>
      <w:r w:rsidR="00B85628">
        <w:rPr>
          <w:rFonts w:ascii="Times New Roman" w:hAnsi="Times New Roman" w:cs="Times New Roman"/>
          <w:b/>
          <w:sz w:val="24"/>
        </w:rPr>
        <w:t>,</w:t>
      </w:r>
      <w:r w:rsidR="00B85628">
        <w:rPr>
          <w:rFonts w:cs="Times New Roman"/>
          <w:b/>
          <w:vertAlign w:val="superscript"/>
        </w:rPr>
        <w:t xml:space="preserve"> </w:t>
      </w:r>
      <w:proofErr w:type="spellStart"/>
      <w:r w:rsidR="00B85628">
        <w:rPr>
          <w:rFonts w:ascii="Times New Roman" w:hAnsi="Times New Roman" w:cs="Times New Roman"/>
          <w:b/>
          <w:sz w:val="24"/>
        </w:rPr>
        <w:t>Логоминова</w:t>
      </w:r>
      <w:proofErr w:type="spellEnd"/>
      <w:r w:rsidR="00B85628">
        <w:rPr>
          <w:rFonts w:ascii="Times New Roman" w:hAnsi="Times New Roman" w:cs="Times New Roman"/>
          <w:b/>
          <w:sz w:val="24"/>
        </w:rPr>
        <w:t xml:space="preserve"> И. В.</w:t>
      </w:r>
      <w:r w:rsidR="00B85628">
        <w:rPr>
          <w:rFonts w:ascii="Times New Roman" w:hAnsi="Times New Roman" w:cs="Times New Roman"/>
          <w:b/>
          <w:sz w:val="24"/>
          <w:vertAlign w:val="superscript"/>
        </w:rPr>
        <w:t>2</w:t>
      </w:r>
      <w:r w:rsidR="00B85628">
        <w:rPr>
          <w:rFonts w:ascii="Times New Roman" w:hAnsi="Times New Roman" w:cs="Times New Roman"/>
          <w:b/>
          <w:sz w:val="24"/>
        </w:rPr>
        <w:t>, Малахова Л. В.</w:t>
      </w:r>
      <w:r w:rsidR="00B85628">
        <w:rPr>
          <w:rFonts w:ascii="Times New Roman" w:hAnsi="Times New Roman" w:cs="Times New Roman"/>
          <w:b/>
          <w:sz w:val="24"/>
          <w:vertAlign w:val="superscript"/>
        </w:rPr>
        <w:t>1</w:t>
      </w:r>
    </w:p>
    <w:p w:rsidR="00B85628" w:rsidRDefault="00B85628" w:rsidP="00B85628">
      <w:pPr>
        <w:spacing w:after="0" w:line="120" w:lineRule="exact"/>
        <w:jc w:val="center"/>
        <w:rPr>
          <w:rFonts w:ascii="Times New Roman" w:hAnsi="Times New Roman" w:cs="Times New Roman"/>
          <w:b/>
          <w:sz w:val="24"/>
        </w:rPr>
      </w:pPr>
    </w:p>
    <w:p w:rsidR="00B85628" w:rsidRDefault="00B85628" w:rsidP="00B85628">
      <w:pPr>
        <w:suppressAutoHyphens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ФИЦ «Институт биологии южных морей им. А. О. Ковалевского РАН», г. Севастополь</w:t>
      </w:r>
    </w:p>
    <w:p w:rsidR="00B85628" w:rsidRDefault="00B85628" w:rsidP="00B85628">
      <w:pPr>
        <w:suppressAutoHyphens/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Карадагская научная станция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Т.И.Вяземского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природный заповедник РАН,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Курортное</w:t>
      </w:r>
    </w:p>
    <w:p w:rsidR="00B85628" w:rsidRDefault="00B85628" w:rsidP="00B8562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628" w:rsidRDefault="00B85628" w:rsidP="00B85628">
      <w:pPr>
        <w:suppressAutoHyphens/>
        <w:spacing w:after="0" w:line="240" w:lineRule="auto"/>
        <w:contextualSpacing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="008F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биология, химия, экология,</w:t>
      </w:r>
      <w:r w:rsidR="008F51D9" w:rsidRPr="008F51D9">
        <w:t xml:space="preserve"> </w:t>
      </w:r>
      <w:r w:rsidR="008F51D9" w:rsidRPr="008F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биологические ресурсы</w:t>
      </w:r>
      <w:r w:rsidR="008F51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биофизика</w:t>
      </w:r>
      <w:r w:rsidR="00EB46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85628" w:rsidRDefault="00B85628" w:rsidP="00B85628">
      <w:pPr>
        <w:suppressAutoHyphens/>
        <w:spacing w:before="28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1B" w:rsidRPr="001C611B" w:rsidRDefault="001C611B" w:rsidP="00180565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C611B">
        <w:rPr>
          <w:rFonts w:ascii="Times New Roman" w:hAnsi="Times New Roman" w:cs="Times New Roman"/>
          <w:sz w:val="24"/>
          <w:szCs w:val="24"/>
        </w:rPr>
        <w:t xml:space="preserve">XIII Всероссийская научно-практическая конференция с международным участием для молодых учёных по проблемам водных и наземных экосистем «Понт </w:t>
      </w:r>
      <w:proofErr w:type="spellStart"/>
      <w:r w:rsidRPr="001C611B">
        <w:rPr>
          <w:rFonts w:ascii="Times New Roman" w:hAnsi="Times New Roman" w:cs="Times New Roman"/>
          <w:sz w:val="24"/>
          <w:szCs w:val="24"/>
        </w:rPr>
        <w:t>Эвксинский</w:t>
      </w:r>
      <w:proofErr w:type="spellEnd"/>
      <w:r w:rsidRPr="001C611B">
        <w:rPr>
          <w:rFonts w:ascii="Times New Roman" w:hAnsi="Times New Roman" w:cs="Times New Roman"/>
          <w:sz w:val="24"/>
          <w:szCs w:val="24"/>
        </w:rPr>
        <w:t xml:space="preserve"> – 2023» организуется Советом молодых у</w:t>
      </w:r>
      <w:r>
        <w:rPr>
          <w:rFonts w:ascii="Times New Roman" w:hAnsi="Times New Roman" w:cs="Times New Roman"/>
          <w:sz w:val="24"/>
          <w:szCs w:val="24"/>
        </w:rPr>
        <w:t xml:space="preserve">ченых и специалистов ФИЦ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Pr="001C611B">
        <w:rPr>
          <w:rFonts w:ascii="Times New Roman" w:hAnsi="Times New Roman" w:cs="Times New Roman"/>
          <w:sz w:val="24"/>
          <w:szCs w:val="24"/>
        </w:rPr>
        <w:t xml:space="preserve">Проведение молодежных конференций и школ-семинаров является традицией для Совета молодых ученых и специалистов нашего Института. С 2001 года Совет провел 12 молодежных конференций «Понт </w:t>
      </w:r>
      <w:proofErr w:type="spellStart"/>
      <w:r w:rsidRPr="001C611B">
        <w:rPr>
          <w:rFonts w:ascii="Times New Roman" w:hAnsi="Times New Roman" w:cs="Times New Roman"/>
          <w:sz w:val="24"/>
          <w:szCs w:val="24"/>
        </w:rPr>
        <w:t>Эвксинский</w:t>
      </w:r>
      <w:proofErr w:type="spellEnd"/>
      <w:r w:rsidRPr="001C611B">
        <w:rPr>
          <w:rFonts w:ascii="Times New Roman" w:hAnsi="Times New Roman" w:cs="Times New Roman"/>
          <w:sz w:val="24"/>
          <w:szCs w:val="24"/>
        </w:rPr>
        <w:t>», 12 школ-семинаро</w:t>
      </w:r>
      <w:r>
        <w:rPr>
          <w:rFonts w:ascii="Times New Roman" w:hAnsi="Times New Roman" w:cs="Times New Roman"/>
          <w:sz w:val="24"/>
          <w:szCs w:val="24"/>
        </w:rPr>
        <w:t>в и форумов для молодых ученых.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Pr="001C611B">
        <w:rPr>
          <w:rFonts w:ascii="Times New Roman" w:hAnsi="Times New Roman" w:cs="Times New Roman"/>
          <w:sz w:val="24"/>
          <w:szCs w:val="24"/>
        </w:rPr>
        <w:t>Конференция проводится в рамках празднования 300-летия Российской академии наук и Десятилет</w:t>
      </w:r>
      <w:r>
        <w:rPr>
          <w:rFonts w:ascii="Times New Roman" w:hAnsi="Times New Roman" w:cs="Times New Roman"/>
          <w:sz w:val="24"/>
          <w:szCs w:val="24"/>
        </w:rPr>
        <w:t>ия науки и технологий в России.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Pr="001C611B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учёные (в возрасте до 39 лет включительно), проблематика исследований которых связана с во</w:t>
      </w:r>
      <w:r>
        <w:rPr>
          <w:rFonts w:ascii="Times New Roman" w:hAnsi="Times New Roman" w:cs="Times New Roman"/>
          <w:sz w:val="24"/>
          <w:szCs w:val="24"/>
        </w:rPr>
        <w:t>дными и наземными экосистемами.</w:t>
      </w:r>
    </w:p>
    <w:p w:rsidR="001C611B" w:rsidRDefault="00863773" w:rsidP="00180565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конференции </w:t>
      </w:r>
      <w:r w:rsidRPr="001C611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C611B">
        <w:rPr>
          <w:rFonts w:ascii="Times New Roman" w:hAnsi="Times New Roman" w:cs="Times New Roman"/>
          <w:sz w:val="24"/>
          <w:szCs w:val="24"/>
        </w:rPr>
        <w:t xml:space="preserve">представление результатов фундаментальных и прикладных научных исследований в области биологии и экологии водных и наземных систем, обсуждение перспектив их практического использования для развития инновационных технологий, охраны окружающей среды и рационального </w:t>
      </w:r>
      <w:r w:rsidR="001C611B" w:rsidRPr="00145414">
        <w:rPr>
          <w:rFonts w:ascii="Times New Roman" w:hAnsi="Times New Roman" w:cs="Times New Roman"/>
          <w:sz w:val="24"/>
          <w:szCs w:val="24"/>
        </w:rPr>
        <w:t xml:space="preserve">природопользования, воспроизводства биологических ресурсов и </w:t>
      </w:r>
      <w:proofErr w:type="spellStart"/>
      <w:r w:rsidR="001C611B" w:rsidRPr="00145414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1C611B" w:rsidRPr="00145414">
        <w:rPr>
          <w:rFonts w:ascii="Times New Roman" w:hAnsi="Times New Roman" w:cs="Times New Roman"/>
          <w:sz w:val="24"/>
          <w:szCs w:val="24"/>
        </w:rPr>
        <w:t xml:space="preserve">. </w:t>
      </w:r>
      <w:r w:rsidR="001C611B" w:rsidRPr="00145414">
        <w:rPr>
          <w:rFonts w:ascii="Times New Roman" w:hAnsi="Times New Roman" w:cs="Times New Roman"/>
          <w:sz w:val="24"/>
          <w:szCs w:val="24"/>
        </w:rPr>
        <w:t>Научные направления конференции</w:t>
      </w:r>
      <w:r w:rsidR="00145414" w:rsidRPr="00145414">
        <w:rPr>
          <w:rFonts w:ascii="Times New Roman" w:hAnsi="Times New Roman" w:cs="Times New Roman"/>
          <w:sz w:val="24"/>
          <w:szCs w:val="24"/>
        </w:rPr>
        <w:t>: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45414" w:rsidRPr="00145414">
        <w:rPr>
          <w:rFonts w:ascii="Times New Roman" w:hAnsi="Times New Roman" w:cs="Times New Roman"/>
          <w:sz w:val="24"/>
          <w:szCs w:val="24"/>
        </w:rPr>
        <w:t>б</w:t>
      </w:r>
      <w:r w:rsidR="001C611B" w:rsidRPr="00145414">
        <w:rPr>
          <w:rFonts w:ascii="Times New Roman" w:hAnsi="Times New Roman" w:cs="Times New Roman"/>
          <w:sz w:val="24"/>
          <w:szCs w:val="24"/>
        </w:rPr>
        <w:t>иоразнообразие и функционирова</w:t>
      </w:r>
      <w:r w:rsidR="00145414" w:rsidRPr="00145414">
        <w:rPr>
          <w:rFonts w:ascii="Times New Roman" w:hAnsi="Times New Roman" w:cs="Times New Roman"/>
          <w:sz w:val="24"/>
          <w:szCs w:val="24"/>
        </w:rPr>
        <w:t>ние водных и наземных экосистем; в</w:t>
      </w:r>
      <w:r w:rsidR="001C611B" w:rsidRPr="00145414">
        <w:rPr>
          <w:rFonts w:ascii="Times New Roman" w:hAnsi="Times New Roman" w:cs="Times New Roman"/>
          <w:sz w:val="24"/>
          <w:szCs w:val="24"/>
        </w:rPr>
        <w:t>одные биологические ресурс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ы, биотехнология и </w:t>
      </w:r>
      <w:proofErr w:type="spellStart"/>
      <w:r w:rsidR="00145414" w:rsidRPr="00145414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="00145414" w:rsidRPr="00145414">
        <w:rPr>
          <w:rFonts w:ascii="Times New Roman" w:hAnsi="Times New Roman" w:cs="Times New Roman"/>
          <w:sz w:val="24"/>
          <w:szCs w:val="24"/>
        </w:rPr>
        <w:t>; биофизика и химия моря; м</w:t>
      </w:r>
      <w:r w:rsidR="001C611B" w:rsidRPr="00145414">
        <w:rPr>
          <w:rFonts w:ascii="Times New Roman" w:hAnsi="Times New Roman" w:cs="Times New Roman"/>
          <w:sz w:val="24"/>
          <w:szCs w:val="24"/>
        </w:rPr>
        <w:t xml:space="preserve">орская </w:t>
      </w:r>
      <w:proofErr w:type="spellStart"/>
      <w:r w:rsidR="001C611B" w:rsidRPr="00145414">
        <w:rPr>
          <w:rFonts w:ascii="Times New Roman" w:hAnsi="Times New Roman" w:cs="Times New Roman"/>
          <w:sz w:val="24"/>
          <w:szCs w:val="24"/>
        </w:rPr>
        <w:t>экотоксикологи</w:t>
      </w:r>
      <w:r w:rsidR="00145414" w:rsidRPr="0014541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145414" w:rsidRPr="00145414">
        <w:rPr>
          <w:rFonts w:ascii="Times New Roman" w:hAnsi="Times New Roman" w:cs="Times New Roman"/>
          <w:sz w:val="24"/>
          <w:szCs w:val="24"/>
        </w:rPr>
        <w:t>. Оценка качества водной среды; п</w:t>
      </w:r>
      <w:r w:rsidR="001C611B" w:rsidRPr="00145414">
        <w:rPr>
          <w:rFonts w:ascii="Times New Roman" w:hAnsi="Times New Roman" w:cs="Times New Roman"/>
          <w:sz w:val="24"/>
          <w:szCs w:val="24"/>
        </w:rPr>
        <w:t>рибрежные экосистемы и их рекреационное использование</w:t>
      </w:r>
      <w:r w:rsidR="00145414" w:rsidRPr="00145414">
        <w:rPr>
          <w:rFonts w:ascii="Times New Roman" w:hAnsi="Times New Roman" w:cs="Times New Roman"/>
          <w:sz w:val="24"/>
          <w:szCs w:val="24"/>
        </w:rPr>
        <w:t>; с</w:t>
      </w:r>
      <w:r w:rsidR="001C611B" w:rsidRPr="00145414">
        <w:rPr>
          <w:rFonts w:ascii="Times New Roman" w:hAnsi="Times New Roman" w:cs="Times New Roman"/>
          <w:sz w:val="24"/>
          <w:szCs w:val="24"/>
        </w:rPr>
        <w:t>овременные методы исследова</w:t>
      </w:r>
      <w:r w:rsidR="00145414" w:rsidRPr="00145414">
        <w:rPr>
          <w:rFonts w:ascii="Times New Roman" w:hAnsi="Times New Roman" w:cs="Times New Roman"/>
          <w:sz w:val="24"/>
          <w:szCs w:val="24"/>
        </w:rPr>
        <w:t>ния водных и наземных экосистем; м</w:t>
      </w:r>
      <w:r w:rsidR="001C611B" w:rsidRPr="00145414">
        <w:rPr>
          <w:rFonts w:ascii="Times New Roman" w:hAnsi="Times New Roman" w:cs="Times New Roman"/>
          <w:sz w:val="24"/>
          <w:szCs w:val="24"/>
        </w:rPr>
        <w:t>олекулярно-генетические исследования экосистем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. </w:t>
      </w:r>
      <w:r w:rsidR="001C611B" w:rsidRPr="00145414">
        <w:rPr>
          <w:rFonts w:ascii="Times New Roman" w:hAnsi="Times New Roman" w:cs="Times New Roman"/>
          <w:sz w:val="24"/>
          <w:szCs w:val="24"/>
        </w:rPr>
        <w:t>Форма проведения конференции: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45414">
        <w:rPr>
          <w:rFonts w:ascii="Times New Roman" w:hAnsi="Times New Roman" w:cs="Times New Roman"/>
          <w:sz w:val="24"/>
          <w:szCs w:val="24"/>
        </w:rPr>
        <w:t>очное участие: устные (пленарные и секционные) и стендовые доклады;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45414">
        <w:rPr>
          <w:rFonts w:ascii="Times New Roman" w:hAnsi="Times New Roman" w:cs="Times New Roman"/>
          <w:sz w:val="24"/>
          <w:szCs w:val="24"/>
        </w:rPr>
        <w:t xml:space="preserve">дистанционное участие с использованием онлайн-платформы </w:t>
      </w:r>
      <w:proofErr w:type="spellStart"/>
      <w:r w:rsidR="001C611B" w:rsidRPr="00145414">
        <w:rPr>
          <w:rFonts w:ascii="Times New Roman" w:hAnsi="Times New Roman" w:cs="Times New Roman"/>
          <w:sz w:val="24"/>
          <w:szCs w:val="24"/>
        </w:rPr>
        <w:t>Trueconf</w:t>
      </w:r>
      <w:proofErr w:type="spellEnd"/>
      <w:r w:rsidR="001C611B" w:rsidRPr="00145414">
        <w:rPr>
          <w:rFonts w:ascii="Times New Roman" w:hAnsi="Times New Roman" w:cs="Times New Roman"/>
          <w:sz w:val="24"/>
          <w:szCs w:val="24"/>
        </w:rPr>
        <w:t>.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45414">
        <w:rPr>
          <w:rFonts w:ascii="Times New Roman" w:hAnsi="Times New Roman" w:cs="Times New Roman"/>
          <w:sz w:val="24"/>
          <w:szCs w:val="24"/>
        </w:rPr>
        <w:t>Рабочие языки: русский и английский.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45414">
        <w:rPr>
          <w:rFonts w:ascii="Times New Roman" w:hAnsi="Times New Roman" w:cs="Times New Roman"/>
          <w:sz w:val="24"/>
          <w:szCs w:val="24"/>
        </w:rPr>
        <w:t>Организационный взнос: информация будет размещена во 2 информационном письме</w:t>
      </w:r>
      <w:r w:rsidR="005A7D89" w:rsidRPr="00145414">
        <w:rPr>
          <w:rFonts w:ascii="Times New Roman" w:hAnsi="Times New Roman" w:cs="Times New Roman"/>
          <w:sz w:val="24"/>
          <w:szCs w:val="24"/>
        </w:rPr>
        <w:t>.</w:t>
      </w:r>
      <w:r w:rsidR="00145414" w:rsidRP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45414">
        <w:rPr>
          <w:rFonts w:ascii="Times New Roman" w:hAnsi="Times New Roman" w:cs="Times New Roman"/>
          <w:sz w:val="24"/>
          <w:szCs w:val="24"/>
        </w:rPr>
        <w:t>По итогам конференции будет</w:t>
      </w:r>
      <w:r w:rsidR="001C611B" w:rsidRPr="001C611B">
        <w:rPr>
          <w:rFonts w:ascii="Times New Roman" w:hAnsi="Times New Roman" w:cs="Times New Roman"/>
          <w:sz w:val="24"/>
          <w:szCs w:val="24"/>
        </w:rPr>
        <w:t xml:space="preserve"> опубликован электронный сборник тезисов с присвоением кода ISBN, который будет размещен на сайте конференции и в </w:t>
      </w:r>
      <w:proofErr w:type="spellStart"/>
      <w:r w:rsidR="001C611B" w:rsidRPr="001C611B">
        <w:rPr>
          <w:rFonts w:ascii="Times New Roman" w:hAnsi="Times New Roman" w:cs="Times New Roman"/>
          <w:sz w:val="24"/>
          <w:szCs w:val="24"/>
        </w:rPr>
        <w:t>репозитории</w:t>
      </w:r>
      <w:proofErr w:type="spellEnd"/>
      <w:r w:rsidR="001C611B" w:rsidRPr="001C611B">
        <w:rPr>
          <w:rFonts w:ascii="Times New Roman" w:hAnsi="Times New Roman" w:cs="Times New Roman"/>
          <w:sz w:val="24"/>
          <w:szCs w:val="24"/>
        </w:rPr>
        <w:t xml:space="preserve"> открытого доступа ФИЦ </w:t>
      </w:r>
      <w:proofErr w:type="spellStart"/>
      <w:r w:rsidR="001C611B" w:rsidRPr="001C611B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1C611B" w:rsidRPr="001C611B">
        <w:rPr>
          <w:rFonts w:ascii="Times New Roman" w:hAnsi="Times New Roman" w:cs="Times New Roman"/>
          <w:sz w:val="24"/>
          <w:szCs w:val="24"/>
        </w:rPr>
        <w:t>: https:/</w:t>
      </w:r>
      <w:r w:rsidR="005A7D89">
        <w:rPr>
          <w:rFonts w:ascii="Times New Roman" w:hAnsi="Times New Roman" w:cs="Times New Roman"/>
          <w:sz w:val="24"/>
          <w:szCs w:val="24"/>
        </w:rPr>
        <w:t>/repository.marine-research.org</w:t>
      </w:r>
      <w:r w:rsidR="001C611B" w:rsidRPr="001C611B">
        <w:rPr>
          <w:rFonts w:ascii="Times New Roman" w:hAnsi="Times New Roman" w:cs="Times New Roman"/>
          <w:sz w:val="24"/>
          <w:szCs w:val="24"/>
        </w:rPr>
        <w:t>, а также в национальной библиографической базе да</w:t>
      </w:r>
      <w:r w:rsidR="005A7D89">
        <w:rPr>
          <w:rFonts w:ascii="Times New Roman" w:hAnsi="Times New Roman" w:cs="Times New Roman"/>
          <w:sz w:val="24"/>
          <w:szCs w:val="24"/>
        </w:rPr>
        <w:t>нных научного цитирования РИНЦ.</w:t>
      </w:r>
      <w:r w:rsidR="00145414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C611B">
        <w:rPr>
          <w:rFonts w:ascii="Times New Roman" w:hAnsi="Times New Roman" w:cs="Times New Roman"/>
          <w:sz w:val="24"/>
          <w:szCs w:val="24"/>
        </w:rPr>
        <w:t>Редактирование тезисов не предусмотрено, оргкомитет оставляет за собой право их отклонения при несоответствии тематике конференции и требованиям к оформлению.</w:t>
      </w:r>
    </w:p>
    <w:p w:rsidR="00B85628" w:rsidRDefault="00B85628" w:rsidP="00180565">
      <w:pPr>
        <w:widowControl w:val="0"/>
        <w:spacing w:after="0" w:line="240" w:lineRule="auto"/>
        <w:ind w:firstLine="357"/>
        <w:jc w:val="both"/>
      </w:pPr>
      <w:r>
        <w:rPr>
          <w:rFonts w:ascii="Times New Roman" w:hAnsi="Times New Roman" w:cs="Times New Roman"/>
          <w:i/>
          <w:sz w:val="24"/>
        </w:rPr>
        <w:t>Работа выполнена в рамках</w:t>
      </w:r>
      <w:r>
        <w:rPr>
          <w:rFonts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госзадания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темы № 121031500515-8 </w:t>
      </w:r>
      <w:proofErr w:type="spellStart"/>
      <w:r>
        <w:rPr>
          <w:rFonts w:ascii="Times New Roman" w:hAnsi="Times New Roman" w:cs="Times New Roman"/>
          <w:i/>
          <w:sz w:val="24"/>
        </w:rPr>
        <w:t>ИнБЮМ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4"/>
        </w:rPr>
        <w:t>Молисмологические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и биогеохимические основы гомеостаза морских экосистем» и № 121032300019-0 филиала ФГБУ </w:t>
      </w:r>
      <w:proofErr w:type="spellStart"/>
      <w:r>
        <w:rPr>
          <w:rFonts w:ascii="Times New Roman" w:hAnsi="Times New Roman" w:cs="Times New Roman"/>
          <w:i/>
          <w:sz w:val="24"/>
        </w:rPr>
        <w:t>ИнБЮМ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Карадагской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научной станции им. </w:t>
      </w:r>
      <w:proofErr w:type="spellStart"/>
      <w:r>
        <w:rPr>
          <w:rFonts w:ascii="Times New Roman" w:hAnsi="Times New Roman" w:cs="Times New Roman"/>
          <w:i/>
          <w:sz w:val="24"/>
        </w:rPr>
        <w:t>Т.И.Вяземского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– природный заповедник РАН «Изучение фундаментальных физических, физиологических и биохимических, репродуктивных, популяционных поведенческих характеристик морских гидробионтов». </w:t>
      </w:r>
      <w:bookmarkStart w:id="0" w:name="_GoBack"/>
      <w:bookmarkEnd w:id="0"/>
    </w:p>
    <w:p w:rsidR="00D70C9A" w:rsidRDefault="005A7D89" w:rsidP="005A7D89">
      <w:pPr>
        <w:jc w:val="center"/>
        <w:rPr>
          <w:rFonts w:ascii="Times New Roman" w:eastAsia="SFTI1000" w:hAnsi="Times New Roman" w:cs="Times New Roman"/>
          <w:b/>
          <w:sz w:val="24"/>
          <w:szCs w:val="24"/>
        </w:rPr>
      </w:pPr>
      <w:r w:rsidRPr="00EA1010">
        <w:rPr>
          <w:rFonts w:ascii="Times New Roman" w:eastAsia="SFTI1000" w:hAnsi="Times New Roman" w:cs="Times New Roman"/>
          <w:b/>
          <w:sz w:val="24"/>
          <w:szCs w:val="24"/>
        </w:rPr>
        <w:t>Список литературы</w:t>
      </w:r>
    </w:p>
    <w:p w:rsidR="00D70C9A" w:rsidRPr="008A13BF" w:rsidRDefault="00863773" w:rsidP="00D70C9A">
      <w:pPr>
        <w:pStyle w:val="a4"/>
        <w:numPr>
          <w:ilvl w:val="3"/>
          <w:numId w:val="3"/>
        </w:numPr>
        <w:ind w:left="426" w:hanging="284"/>
        <w:jc w:val="both"/>
      </w:pPr>
      <w:r w:rsidRPr="00145414">
        <w:rPr>
          <w:color w:val="000000"/>
        </w:rPr>
        <w:t>Допускается список литературы с максимальным объемом – 4 источника.</w:t>
      </w:r>
    </w:p>
    <w:sectPr w:rsidR="00D70C9A" w:rsidRPr="008A13BF" w:rsidSect="00145414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FTI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6A6"/>
    <w:multiLevelType w:val="hybridMultilevel"/>
    <w:tmpl w:val="07F0021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C780C85"/>
    <w:multiLevelType w:val="multilevel"/>
    <w:tmpl w:val="D6E0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38B"/>
    <w:multiLevelType w:val="multilevel"/>
    <w:tmpl w:val="CA16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00C6"/>
    <w:multiLevelType w:val="multilevel"/>
    <w:tmpl w:val="B3E0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0BC"/>
    <w:multiLevelType w:val="multilevel"/>
    <w:tmpl w:val="AE72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87680"/>
    <w:multiLevelType w:val="multilevel"/>
    <w:tmpl w:val="A822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0C7AF7"/>
    <w:multiLevelType w:val="multilevel"/>
    <w:tmpl w:val="47225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2431"/>
    <w:multiLevelType w:val="multilevel"/>
    <w:tmpl w:val="24BA7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941D1"/>
    <w:multiLevelType w:val="multilevel"/>
    <w:tmpl w:val="5CF49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25CA2"/>
    <w:multiLevelType w:val="multilevel"/>
    <w:tmpl w:val="F030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167DA"/>
    <w:multiLevelType w:val="multilevel"/>
    <w:tmpl w:val="E26A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B4"/>
    <w:rsid w:val="0014476E"/>
    <w:rsid w:val="00145414"/>
    <w:rsid w:val="00180565"/>
    <w:rsid w:val="001C611B"/>
    <w:rsid w:val="00250409"/>
    <w:rsid w:val="00265FAA"/>
    <w:rsid w:val="00333AB2"/>
    <w:rsid w:val="0035077C"/>
    <w:rsid w:val="00357556"/>
    <w:rsid w:val="00467FF4"/>
    <w:rsid w:val="004D0BD0"/>
    <w:rsid w:val="005026FD"/>
    <w:rsid w:val="00505B57"/>
    <w:rsid w:val="005A7D89"/>
    <w:rsid w:val="005D1714"/>
    <w:rsid w:val="00625A61"/>
    <w:rsid w:val="00646F9F"/>
    <w:rsid w:val="007131F1"/>
    <w:rsid w:val="00776E98"/>
    <w:rsid w:val="00802928"/>
    <w:rsid w:val="00811669"/>
    <w:rsid w:val="00817996"/>
    <w:rsid w:val="00863773"/>
    <w:rsid w:val="008A13BF"/>
    <w:rsid w:val="008C43A1"/>
    <w:rsid w:val="008F51D9"/>
    <w:rsid w:val="00955C25"/>
    <w:rsid w:val="009603B7"/>
    <w:rsid w:val="009728C0"/>
    <w:rsid w:val="00A23038"/>
    <w:rsid w:val="00A35651"/>
    <w:rsid w:val="00AC5A77"/>
    <w:rsid w:val="00B226FC"/>
    <w:rsid w:val="00B85628"/>
    <w:rsid w:val="00B91F95"/>
    <w:rsid w:val="00C337F1"/>
    <w:rsid w:val="00C448CF"/>
    <w:rsid w:val="00CB11A2"/>
    <w:rsid w:val="00CC07E0"/>
    <w:rsid w:val="00CF2497"/>
    <w:rsid w:val="00CF567D"/>
    <w:rsid w:val="00D05F79"/>
    <w:rsid w:val="00D3228A"/>
    <w:rsid w:val="00D70C9A"/>
    <w:rsid w:val="00DB132B"/>
    <w:rsid w:val="00DC0D8D"/>
    <w:rsid w:val="00DE47DF"/>
    <w:rsid w:val="00E34172"/>
    <w:rsid w:val="00EB46E7"/>
    <w:rsid w:val="00F419B4"/>
    <w:rsid w:val="00FB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F28E"/>
  <w15:chartTrackingRefBased/>
  <w15:docId w15:val="{372420EF-AC99-47E0-97AF-45BAD8D8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603B7"/>
    <w:rPr>
      <w:color w:val="000080"/>
      <w:u w:val="single"/>
    </w:rPr>
  </w:style>
  <w:style w:type="paragraph" w:styleId="a3">
    <w:name w:val="List"/>
    <w:basedOn w:val="a"/>
    <w:uiPriority w:val="99"/>
    <w:rsid w:val="009603B7"/>
    <w:pPr>
      <w:tabs>
        <w:tab w:val="left" w:pos="283"/>
      </w:tabs>
      <w:spacing w:after="12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qFormat/>
    <w:rsid w:val="009603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9603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5A61"/>
    <w:rPr>
      <w:b/>
      <w:bCs/>
    </w:rPr>
  </w:style>
  <w:style w:type="character" w:styleId="a7">
    <w:name w:val="Hyperlink"/>
    <w:basedOn w:val="a0"/>
    <w:uiPriority w:val="99"/>
    <w:semiHidden/>
    <w:unhideWhenUsed/>
    <w:rsid w:val="00625A61"/>
    <w:rPr>
      <w:color w:val="0000FF"/>
      <w:u w:val="single"/>
    </w:rPr>
  </w:style>
  <w:style w:type="character" w:styleId="a8">
    <w:name w:val="Emphasis"/>
    <w:basedOn w:val="a0"/>
    <w:uiPriority w:val="20"/>
    <w:qFormat/>
    <w:rsid w:val="00625A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cap.ru/home/65/aris/bd/vetzac/document/201.html" TargetMode="External"/><Relationship Id="rId5" Type="http://schemas.openxmlformats.org/officeDocument/2006/relationships/hyperlink" Target="https://doi.org/10.1111/j.1748-1716.2006.01537.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V.V.V.</cp:lastModifiedBy>
  <cp:revision>49</cp:revision>
  <dcterms:created xsi:type="dcterms:W3CDTF">2021-03-24T09:36:00Z</dcterms:created>
  <dcterms:modified xsi:type="dcterms:W3CDTF">2023-05-30T07:37:00Z</dcterms:modified>
</cp:coreProperties>
</file>